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E8B24" w14:textId="77777777" w:rsidR="003A1383" w:rsidRDefault="003A1383" w:rsidP="003A1383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right"/>
        <w:rPr>
          <w:sz w:val="24"/>
          <w:szCs w:val="24"/>
          <w:lang w:val="en-US"/>
        </w:rPr>
      </w:pPr>
    </w:p>
    <w:p w14:paraId="06FCBAA0" w14:textId="77777777" w:rsidR="003A1383" w:rsidRPr="00A21AC3" w:rsidRDefault="00A21AC3" w:rsidP="003A1383">
      <w:pPr>
        <w:pStyle w:val="Bezodstpw"/>
        <w:spacing w:line="280" w:lineRule="auto"/>
        <w:jc w:val="both"/>
        <w:rPr>
          <w:lang w:val="pl-PL"/>
        </w:rPr>
      </w:pPr>
      <w:r w:rsidRPr="00A21AC3">
        <w:rPr>
          <w:lang w:val="pl-PL"/>
        </w:rPr>
        <w:t>Warszawa, 17 marca 2015 r.</w:t>
      </w:r>
    </w:p>
    <w:p w14:paraId="289037BC" w14:textId="77777777" w:rsidR="00A21AC3" w:rsidRPr="00A21AC3" w:rsidRDefault="00A21AC3" w:rsidP="003A1383">
      <w:pPr>
        <w:pStyle w:val="Bezodstpw"/>
        <w:spacing w:line="280" w:lineRule="auto"/>
        <w:jc w:val="both"/>
        <w:rPr>
          <w:lang w:val="pl-PL"/>
        </w:rPr>
      </w:pPr>
      <w:r w:rsidRPr="00A21AC3">
        <w:rPr>
          <w:lang w:val="pl-PL"/>
        </w:rPr>
        <w:t>Informacja prasowa</w:t>
      </w:r>
    </w:p>
    <w:p w14:paraId="3FB6F632" w14:textId="77777777" w:rsidR="00A21AC3" w:rsidRDefault="00A21AC3" w:rsidP="003A1383">
      <w:pPr>
        <w:pStyle w:val="Bezodstpw"/>
        <w:spacing w:line="280" w:lineRule="auto"/>
        <w:jc w:val="both"/>
        <w:rPr>
          <w:b/>
          <w:sz w:val="30"/>
          <w:szCs w:val="30"/>
          <w:lang w:val="pl-PL"/>
        </w:rPr>
      </w:pPr>
    </w:p>
    <w:p w14:paraId="690FC044" w14:textId="77777777" w:rsidR="003A1383" w:rsidRDefault="0017208E" w:rsidP="00A511F6">
      <w:pPr>
        <w:pStyle w:val="Bezodstpw"/>
        <w:spacing w:line="280" w:lineRule="auto"/>
        <w:jc w:val="both"/>
        <w:rPr>
          <w:b/>
          <w:sz w:val="30"/>
          <w:szCs w:val="30"/>
          <w:lang w:val="pl-PL"/>
        </w:rPr>
      </w:pPr>
      <w:r>
        <w:rPr>
          <w:b/>
          <w:sz w:val="30"/>
          <w:szCs w:val="30"/>
          <w:lang w:val="pl-PL"/>
        </w:rPr>
        <w:t xml:space="preserve">OZNACZENIA PEGI </w:t>
      </w:r>
      <w:r w:rsidR="00A511F6">
        <w:rPr>
          <w:b/>
          <w:sz w:val="30"/>
          <w:szCs w:val="30"/>
          <w:lang w:val="pl-PL"/>
        </w:rPr>
        <w:t>WKRACZAJĄ NA APLIKACJE MOBILNE</w:t>
      </w:r>
    </w:p>
    <w:p w14:paraId="1C4FE452" w14:textId="77777777" w:rsidR="00A511F6" w:rsidRPr="001F7D3A" w:rsidRDefault="00A511F6" w:rsidP="00A511F6">
      <w:pPr>
        <w:pStyle w:val="Bezodstpw"/>
        <w:spacing w:line="280" w:lineRule="auto"/>
        <w:jc w:val="both"/>
        <w:rPr>
          <w:i/>
          <w:lang w:val="pl-PL"/>
        </w:rPr>
      </w:pPr>
    </w:p>
    <w:p w14:paraId="3FF6DBAE" w14:textId="77777777" w:rsidR="003A1383" w:rsidRPr="001F7D3A" w:rsidRDefault="003A1383" w:rsidP="003A1383">
      <w:pPr>
        <w:pStyle w:val="Bezodstpw"/>
        <w:spacing w:line="280" w:lineRule="auto"/>
        <w:jc w:val="both"/>
        <w:rPr>
          <w:lang w:val="pl-PL"/>
        </w:rPr>
      </w:pPr>
      <w:r w:rsidRPr="001A1267">
        <w:rPr>
          <w:lang w:val="pl-PL"/>
        </w:rPr>
        <w:t xml:space="preserve">PEGI </w:t>
      </w:r>
      <w:r w:rsidR="000A1A91">
        <w:rPr>
          <w:lang w:val="pl-PL"/>
        </w:rPr>
        <w:t>ogłosiło</w:t>
      </w:r>
      <w:r w:rsidRPr="001A1267">
        <w:rPr>
          <w:lang w:val="pl-PL"/>
        </w:rPr>
        <w:t xml:space="preserve"> dzi</w:t>
      </w:r>
      <w:r>
        <w:rPr>
          <w:lang w:val="pl-PL"/>
        </w:rPr>
        <w:t>siaj, że wszystkie aplikacje w s</w:t>
      </w:r>
      <w:r w:rsidRPr="001A1267">
        <w:rPr>
          <w:lang w:val="pl-PL"/>
        </w:rPr>
        <w:t xml:space="preserve">klepie Google Play będą </w:t>
      </w:r>
      <w:r w:rsidR="00C154FF">
        <w:rPr>
          <w:lang w:val="pl-PL"/>
        </w:rPr>
        <w:t>k</w:t>
      </w:r>
      <w:r w:rsidRPr="001A1267">
        <w:rPr>
          <w:lang w:val="pl-PL"/>
        </w:rPr>
        <w:t xml:space="preserve">lasyfikowane zgodnie </w:t>
      </w:r>
      <w:r w:rsidR="00C154FF">
        <w:rPr>
          <w:lang w:val="pl-PL"/>
        </w:rPr>
        <w:br/>
      </w:r>
      <w:r w:rsidRPr="001A1267">
        <w:rPr>
          <w:lang w:val="pl-PL"/>
        </w:rPr>
        <w:t>z systemem PEGI.</w:t>
      </w:r>
      <w:r w:rsidRPr="001F7D3A">
        <w:rPr>
          <w:lang w:val="pl-PL"/>
        </w:rPr>
        <w:t xml:space="preserve"> </w:t>
      </w:r>
      <w:r w:rsidRPr="001A1267">
        <w:rPr>
          <w:lang w:val="pl-PL"/>
        </w:rPr>
        <w:t xml:space="preserve">Wprowadzenie </w:t>
      </w:r>
      <w:r>
        <w:rPr>
          <w:lang w:val="pl-PL"/>
        </w:rPr>
        <w:t>oznaczeń</w:t>
      </w:r>
      <w:r w:rsidRPr="001A1267">
        <w:rPr>
          <w:lang w:val="pl-PL"/>
        </w:rPr>
        <w:t xml:space="preserve"> PEGI jest częścią szerszej inicjatywy, w ramach, której</w:t>
      </w:r>
      <w:r w:rsidR="000A1A91">
        <w:rPr>
          <w:lang w:val="pl-PL"/>
        </w:rPr>
        <w:t xml:space="preserve"> </w:t>
      </w:r>
      <w:r w:rsidRPr="001A1267">
        <w:rPr>
          <w:lang w:val="pl-PL"/>
        </w:rPr>
        <w:t xml:space="preserve">Google Play będzie wykorzystywać </w:t>
      </w:r>
      <w:r w:rsidR="0069485B">
        <w:rPr>
          <w:lang w:val="pl-PL"/>
        </w:rPr>
        <w:t>rating wypracowany przez koalicję</w:t>
      </w:r>
      <w:r w:rsidRPr="001A1267">
        <w:rPr>
          <w:lang w:val="pl-PL"/>
        </w:rPr>
        <w:t xml:space="preserve"> organizacji </w:t>
      </w:r>
      <w:r w:rsidR="0069485B">
        <w:rPr>
          <w:lang w:val="pl-PL"/>
        </w:rPr>
        <w:t xml:space="preserve">z całego świata </w:t>
      </w:r>
      <w:r w:rsidRPr="001A1267">
        <w:rPr>
          <w:lang w:val="pl-PL"/>
        </w:rPr>
        <w:t xml:space="preserve">ds. klasyfikacji </w:t>
      </w:r>
      <w:r w:rsidR="0069485B" w:rsidRPr="001A1267">
        <w:rPr>
          <w:lang w:val="pl-PL"/>
        </w:rPr>
        <w:t xml:space="preserve">elektronicznej </w:t>
      </w:r>
      <w:r w:rsidR="0069485B">
        <w:rPr>
          <w:lang w:val="pl-PL"/>
        </w:rPr>
        <w:t>rozrywki</w:t>
      </w:r>
      <w:r>
        <w:rPr>
          <w:lang w:val="pl-PL"/>
        </w:rPr>
        <w:t xml:space="preserve"> -</w:t>
      </w:r>
      <w:r w:rsidRPr="001A1267">
        <w:rPr>
          <w:lang w:val="pl-PL"/>
        </w:rPr>
        <w:t xml:space="preserve"> International</w:t>
      </w:r>
      <w:r>
        <w:rPr>
          <w:lang w:val="pl-PL"/>
        </w:rPr>
        <w:t xml:space="preserve"> </w:t>
      </w:r>
      <w:r w:rsidRPr="001A1267">
        <w:rPr>
          <w:lang w:val="pl-PL"/>
        </w:rPr>
        <w:t xml:space="preserve">Age Rating </w:t>
      </w:r>
      <w:proofErr w:type="spellStart"/>
      <w:r w:rsidRPr="001A1267">
        <w:rPr>
          <w:lang w:val="pl-PL"/>
        </w:rPr>
        <w:t>Coalition</w:t>
      </w:r>
      <w:proofErr w:type="spellEnd"/>
      <w:r w:rsidRPr="001A1267">
        <w:rPr>
          <w:lang w:val="pl-PL"/>
        </w:rPr>
        <w:t xml:space="preserve"> (IARC).</w:t>
      </w:r>
    </w:p>
    <w:p w14:paraId="7C567D65" w14:textId="77777777" w:rsidR="003A1383" w:rsidRPr="001F7D3A" w:rsidRDefault="003A1383" w:rsidP="003A1383">
      <w:pPr>
        <w:pStyle w:val="Bezodstpw"/>
        <w:spacing w:line="276" w:lineRule="auto"/>
        <w:jc w:val="both"/>
        <w:rPr>
          <w:lang w:val="pl-PL"/>
        </w:rPr>
      </w:pPr>
    </w:p>
    <w:p w14:paraId="1D158E12" w14:textId="77777777" w:rsidR="003A1383" w:rsidRPr="001F7D3A" w:rsidRDefault="0069485B" w:rsidP="003A1383">
      <w:pPr>
        <w:pStyle w:val="Bezodstpw"/>
        <w:spacing w:line="280" w:lineRule="auto"/>
        <w:jc w:val="both"/>
        <w:rPr>
          <w:lang w:val="pl-PL"/>
        </w:rPr>
      </w:pPr>
      <w:r>
        <w:rPr>
          <w:lang w:val="pl-PL"/>
        </w:rPr>
        <w:t xml:space="preserve">Koalicja ta wypracowała system </w:t>
      </w:r>
      <w:r w:rsidR="003A1383" w:rsidRPr="001A1267">
        <w:rPr>
          <w:lang w:val="pl-PL"/>
        </w:rPr>
        <w:t>zbierania infor</w:t>
      </w:r>
      <w:r>
        <w:rPr>
          <w:lang w:val="pl-PL"/>
        </w:rPr>
        <w:t xml:space="preserve">macji o znanych ratingach </w:t>
      </w:r>
      <w:r w:rsidR="003A1383" w:rsidRPr="001A1267">
        <w:rPr>
          <w:lang w:val="pl-PL"/>
        </w:rPr>
        <w:t xml:space="preserve">wiekowych dla aplikacji </w:t>
      </w:r>
      <w:r w:rsidR="00914178">
        <w:rPr>
          <w:lang w:val="pl-PL"/>
        </w:rPr>
        <w:br/>
      </w:r>
      <w:r w:rsidR="003A1383" w:rsidRPr="001A1267">
        <w:rPr>
          <w:lang w:val="pl-PL"/>
        </w:rPr>
        <w:t>i gier</w:t>
      </w:r>
      <w:r w:rsidR="003A1383">
        <w:rPr>
          <w:lang w:val="pl-PL"/>
        </w:rPr>
        <w:t xml:space="preserve"> dostarczanych w formie cyfrowej</w:t>
      </w:r>
      <w:r w:rsidR="003A1383" w:rsidRPr="001A1267">
        <w:rPr>
          <w:lang w:val="pl-PL"/>
        </w:rPr>
        <w:t>.</w:t>
      </w:r>
      <w:r w:rsidR="003A1383" w:rsidRPr="001F7D3A">
        <w:rPr>
          <w:lang w:val="pl-PL"/>
        </w:rPr>
        <w:t xml:space="preserve"> </w:t>
      </w:r>
      <w:r w:rsidR="003A1383" w:rsidRPr="002515F6">
        <w:rPr>
          <w:lang w:val="pl-PL"/>
        </w:rPr>
        <w:t xml:space="preserve">Google Play </w:t>
      </w:r>
      <w:r w:rsidR="003A1383">
        <w:rPr>
          <w:lang w:val="pl-PL"/>
        </w:rPr>
        <w:t xml:space="preserve">już </w:t>
      </w:r>
      <w:r w:rsidR="003A1383" w:rsidRPr="002515F6">
        <w:rPr>
          <w:lang w:val="pl-PL"/>
        </w:rPr>
        <w:t>wkrótce</w:t>
      </w:r>
      <w:r w:rsidR="003A1383">
        <w:rPr>
          <w:lang w:val="pl-PL"/>
        </w:rPr>
        <w:t>,</w:t>
      </w:r>
      <w:r w:rsidR="003A1383" w:rsidRPr="002515F6">
        <w:rPr>
          <w:lang w:val="pl-PL"/>
        </w:rPr>
        <w:t xml:space="preserve"> </w:t>
      </w:r>
      <w:r w:rsidR="003A1383">
        <w:rPr>
          <w:lang w:val="pl-PL"/>
        </w:rPr>
        <w:t xml:space="preserve">podobnie jak sklep Mozilla </w:t>
      </w:r>
      <w:proofErr w:type="spellStart"/>
      <w:r w:rsidR="003A1383">
        <w:rPr>
          <w:lang w:val="pl-PL"/>
        </w:rPr>
        <w:t>Firefox</w:t>
      </w:r>
      <w:proofErr w:type="spellEnd"/>
      <w:r w:rsidR="003A1383">
        <w:rPr>
          <w:lang w:val="pl-PL"/>
        </w:rPr>
        <w:t xml:space="preserve"> Mar</w:t>
      </w:r>
      <w:r>
        <w:rPr>
          <w:lang w:val="pl-PL"/>
        </w:rPr>
        <w:t>ketplace, zacznie używać</w:t>
      </w:r>
      <w:r w:rsidR="003A1383">
        <w:rPr>
          <w:lang w:val="pl-PL"/>
        </w:rPr>
        <w:t xml:space="preserve"> IARC </w:t>
      </w:r>
      <w:r w:rsidR="003A1383" w:rsidRPr="002515F6">
        <w:rPr>
          <w:lang w:val="pl-PL"/>
        </w:rPr>
        <w:t>wyświetla</w:t>
      </w:r>
      <w:r w:rsidR="003A1383">
        <w:rPr>
          <w:lang w:val="pl-PL"/>
        </w:rPr>
        <w:t>jąc</w:t>
      </w:r>
      <w:r w:rsidR="003A1383" w:rsidRPr="002515F6">
        <w:rPr>
          <w:lang w:val="pl-PL"/>
        </w:rPr>
        <w:t xml:space="preserve"> rozpoznawalne ikony budzące zaufanie, tj. PEGI (Europa), ESRB (Ameryka Północna), </w:t>
      </w:r>
      <w:proofErr w:type="spellStart"/>
      <w:r w:rsidR="003A1383" w:rsidRPr="002515F6">
        <w:rPr>
          <w:lang w:val="pl-PL"/>
        </w:rPr>
        <w:t>ClassInd</w:t>
      </w:r>
      <w:proofErr w:type="spellEnd"/>
      <w:r w:rsidR="003A1383" w:rsidRPr="002515F6">
        <w:rPr>
          <w:lang w:val="pl-PL"/>
        </w:rPr>
        <w:t xml:space="preserve"> (Brazylia)</w:t>
      </w:r>
      <w:r w:rsidR="003A1383">
        <w:rPr>
          <w:lang w:val="pl-PL"/>
        </w:rPr>
        <w:t xml:space="preserve">, </w:t>
      </w:r>
      <w:r w:rsidR="003A1383" w:rsidRPr="002515F6">
        <w:rPr>
          <w:lang w:val="pl-PL"/>
        </w:rPr>
        <w:t>USK (Niemcy)</w:t>
      </w:r>
      <w:r w:rsidR="003A1383">
        <w:rPr>
          <w:lang w:val="pl-PL"/>
        </w:rPr>
        <w:t xml:space="preserve"> oraz </w:t>
      </w:r>
      <w:proofErr w:type="spellStart"/>
      <w:r w:rsidR="003A1383">
        <w:rPr>
          <w:lang w:val="pl-PL"/>
        </w:rPr>
        <w:t>Classification</w:t>
      </w:r>
      <w:proofErr w:type="spellEnd"/>
      <w:r w:rsidR="003A1383">
        <w:rPr>
          <w:lang w:val="pl-PL"/>
        </w:rPr>
        <w:t xml:space="preserve"> Board (Australia).</w:t>
      </w:r>
    </w:p>
    <w:p w14:paraId="5EF7FE1C" w14:textId="77777777" w:rsidR="003A1383" w:rsidRPr="001F7D3A" w:rsidRDefault="003A1383" w:rsidP="003A1383">
      <w:pPr>
        <w:pStyle w:val="Bezodstpw"/>
        <w:spacing w:line="276" w:lineRule="auto"/>
        <w:jc w:val="both"/>
        <w:rPr>
          <w:lang w:val="pl-PL"/>
        </w:rPr>
      </w:pPr>
    </w:p>
    <w:p w14:paraId="6ADC7380" w14:textId="77777777" w:rsidR="003A1383" w:rsidRPr="001F7D3A" w:rsidRDefault="003A1383" w:rsidP="003A1383">
      <w:pPr>
        <w:pStyle w:val="Bezodstpw"/>
        <w:spacing w:line="280" w:lineRule="auto"/>
        <w:jc w:val="both"/>
        <w:rPr>
          <w:lang w:val="pl-PL"/>
        </w:rPr>
      </w:pPr>
      <w:r w:rsidRPr="00623E3A">
        <w:rPr>
          <w:lang w:val="pl-PL"/>
        </w:rPr>
        <w:t xml:space="preserve">System IARC został wprowadzony pod koniec roku 2013 i jest wynikiem pierwszej w historii współpracy organizacji ratingowych, które połączyły siły by opracować </w:t>
      </w:r>
      <w:r>
        <w:rPr>
          <w:lang w:val="pl-PL"/>
        </w:rPr>
        <w:t>uniwersalne rozwiązanie dla globalnego rynku elektronicznej rozrywki. O</w:t>
      </w:r>
      <w:r w:rsidRPr="00623E3A">
        <w:rPr>
          <w:lang w:val="pl-PL"/>
        </w:rPr>
        <w:t xml:space="preserve">czekuje się, że </w:t>
      </w:r>
      <w:r w:rsidR="000A1A91">
        <w:rPr>
          <w:lang w:val="pl-PL"/>
        </w:rPr>
        <w:t xml:space="preserve">oprócz </w:t>
      </w:r>
      <w:r w:rsidRPr="00623E3A">
        <w:rPr>
          <w:lang w:val="pl-PL"/>
        </w:rPr>
        <w:t xml:space="preserve">Google Play oraz Mozilla </w:t>
      </w:r>
      <w:proofErr w:type="spellStart"/>
      <w:r w:rsidRPr="00623E3A">
        <w:rPr>
          <w:lang w:val="pl-PL"/>
        </w:rPr>
        <w:t>Firefox</w:t>
      </w:r>
      <w:proofErr w:type="spellEnd"/>
      <w:r w:rsidRPr="00623E3A">
        <w:rPr>
          <w:lang w:val="pl-PL"/>
        </w:rPr>
        <w:t xml:space="preserve"> Marketplace, inne cyfrowe sklepy, takie jak Nintendo eShop, </w:t>
      </w:r>
      <w:proofErr w:type="spellStart"/>
      <w:r w:rsidRPr="00623E3A">
        <w:rPr>
          <w:lang w:val="pl-PL"/>
        </w:rPr>
        <w:t>PlayStation®Store</w:t>
      </w:r>
      <w:proofErr w:type="spellEnd"/>
      <w:r w:rsidRPr="00623E3A">
        <w:rPr>
          <w:lang w:val="pl-PL"/>
        </w:rPr>
        <w:t xml:space="preserve"> Sony, oraz Microsoft® Xbox Live® Arcade </w:t>
      </w:r>
      <w:proofErr w:type="spellStart"/>
      <w:r w:rsidRPr="00623E3A">
        <w:rPr>
          <w:lang w:val="pl-PL"/>
        </w:rPr>
        <w:t>Store</w:t>
      </w:r>
      <w:proofErr w:type="spellEnd"/>
      <w:r w:rsidRPr="00623E3A">
        <w:rPr>
          <w:lang w:val="pl-PL"/>
        </w:rPr>
        <w:t xml:space="preserve"> również zaczną stosować IARC.</w:t>
      </w:r>
      <w:r w:rsidRPr="001F7D3A">
        <w:rPr>
          <w:lang w:val="pl-PL"/>
        </w:rPr>
        <w:t xml:space="preserve"> </w:t>
      </w:r>
      <w:r w:rsidR="0069485B">
        <w:rPr>
          <w:lang w:val="pl-PL"/>
        </w:rPr>
        <w:t>Wszyscy wydawcy, chc</w:t>
      </w:r>
      <w:r w:rsidR="000A1A91">
        <w:rPr>
          <w:lang w:val="pl-PL"/>
        </w:rPr>
        <w:t xml:space="preserve">ąc sprzedawać swoje produkty w </w:t>
      </w:r>
      <w:r w:rsidRPr="00623E3A">
        <w:rPr>
          <w:lang w:val="pl-PL"/>
        </w:rPr>
        <w:t>Google Play będą musieli wdrożyć procedurę IARC</w:t>
      </w:r>
      <w:r w:rsidR="0069485B">
        <w:rPr>
          <w:lang w:val="pl-PL"/>
        </w:rPr>
        <w:t>. Uzyskanie klasyfikacji poprzez IARC jest nieodpłatne</w:t>
      </w:r>
      <w:r w:rsidRPr="00623E3A">
        <w:rPr>
          <w:lang w:val="pl-PL"/>
        </w:rPr>
        <w:t xml:space="preserve">, a sam </w:t>
      </w:r>
      <w:r w:rsidR="0069485B">
        <w:rPr>
          <w:lang w:val="pl-PL"/>
        </w:rPr>
        <w:t>proces przebiega szybko</w:t>
      </w:r>
      <w:r w:rsidRPr="00623E3A">
        <w:rPr>
          <w:lang w:val="pl-PL"/>
        </w:rPr>
        <w:t>.</w:t>
      </w:r>
    </w:p>
    <w:p w14:paraId="2647F4F4" w14:textId="77777777" w:rsidR="003A1383" w:rsidRPr="001F7D3A" w:rsidRDefault="003A1383" w:rsidP="003A1383">
      <w:pPr>
        <w:pStyle w:val="Bezodstpw"/>
        <w:spacing w:line="276" w:lineRule="auto"/>
        <w:jc w:val="both"/>
        <w:rPr>
          <w:lang w:val="pl-PL"/>
        </w:rPr>
      </w:pPr>
    </w:p>
    <w:p w14:paraId="318D0D6F" w14:textId="77777777" w:rsidR="00A21AC3" w:rsidRDefault="003A1383" w:rsidP="003A1383">
      <w:pPr>
        <w:pStyle w:val="Bezodstpw"/>
        <w:spacing w:line="280" w:lineRule="auto"/>
        <w:jc w:val="both"/>
        <w:rPr>
          <w:lang w:val="pl-PL"/>
        </w:rPr>
      </w:pPr>
      <w:r w:rsidRPr="002515F6">
        <w:rPr>
          <w:lang w:val="pl-PL"/>
        </w:rPr>
        <w:t>"</w:t>
      </w:r>
      <w:r w:rsidR="0069485B">
        <w:rPr>
          <w:lang w:val="pl-PL"/>
        </w:rPr>
        <w:t>Globalny r</w:t>
      </w:r>
      <w:r w:rsidRPr="002515F6">
        <w:rPr>
          <w:lang w:val="pl-PL"/>
        </w:rPr>
        <w:t>ynek cyfrowych gier i aplikacji m</w:t>
      </w:r>
      <w:r w:rsidR="0069485B">
        <w:rPr>
          <w:lang w:val="pl-PL"/>
        </w:rPr>
        <w:t xml:space="preserve">obilnych rozwija się </w:t>
      </w:r>
      <w:r w:rsidRPr="002515F6">
        <w:rPr>
          <w:lang w:val="pl-PL"/>
        </w:rPr>
        <w:t>w ekspresowym tempie.</w:t>
      </w:r>
      <w:r w:rsidR="008A0DBD">
        <w:rPr>
          <w:lang w:val="pl-PL"/>
        </w:rPr>
        <w:t xml:space="preserve"> </w:t>
      </w:r>
      <w:r w:rsidRPr="002515F6">
        <w:rPr>
          <w:lang w:val="pl-PL"/>
        </w:rPr>
        <w:t>Poprzez pojedyncze kliknięcie producenci mogą publikować swoje gry i aplikacje w cyfrowych sklepach, docierając w ten sposób do klientów na całym świecie.</w:t>
      </w:r>
      <w:r w:rsidRPr="001F7D3A">
        <w:rPr>
          <w:lang w:val="pl-PL"/>
        </w:rPr>
        <w:t xml:space="preserve"> </w:t>
      </w:r>
      <w:r w:rsidRPr="002515F6">
        <w:rPr>
          <w:lang w:val="pl-PL"/>
        </w:rPr>
        <w:t>Takie warunki stworzyły wzywania regulacyjne i kulturowe, które wymuszają wprowadzenie innowacyjnego rozwiązania</w:t>
      </w:r>
      <w:r>
        <w:rPr>
          <w:lang w:val="pl-PL"/>
        </w:rPr>
        <w:t>. Jest nim system</w:t>
      </w:r>
      <w:r w:rsidRPr="002515F6">
        <w:rPr>
          <w:lang w:val="pl-PL"/>
        </w:rPr>
        <w:t xml:space="preserve"> IARC</w:t>
      </w:r>
      <w:r>
        <w:rPr>
          <w:lang w:val="pl-PL"/>
        </w:rPr>
        <w:t xml:space="preserve">, dzięki któremu producenci i sklepy mogą zapewnić klientom wiarygodne wytyczne na </w:t>
      </w:r>
      <w:r w:rsidR="0069485B">
        <w:rPr>
          <w:lang w:val="pl-PL"/>
        </w:rPr>
        <w:t>temat stosowności</w:t>
      </w:r>
      <w:r w:rsidRPr="002515F6">
        <w:rPr>
          <w:lang w:val="pl-PL"/>
        </w:rPr>
        <w:t xml:space="preserve"> gier i aplikacji dla osób w określonym wieku, które ch</w:t>
      </w:r>
      <w:r w:rsidR="00621174">
        <w:rPr>
          <w:lang w:val="pl-PL"/>
        </w:rPr>
        <w:t>ciałyby je ściągnąć," komentuje</w:t>
      </w:r>
      <w:r w:rsidRPr="002515F6">
        <w:rPr>
          <w:lang w:val="pl-PL"/>
        </w:rPr>
        <w:t xml:space="preserve"> </w:t>
      </w:r>
      <w:proofErr w:type="spellStart"/>
      <w:r w:rsidRPr="002515F6">
        <w:rPr>
          <w:lang w:val="pl-PL"/>
        </w:rPr>
        <w:t>Dirk</w:t>
      </w:r>
      <w:proofErr w:type="spellEnd"/>
      <w:r w:rsidRPr="002515F6">
        <w:rPr>
          <w:lang w:val="pl-PL"/>
        </w:rPr>
        <w:t xml:space="preserve"> </w:t>
      </w:r>
      <w:proofErr w:type="spellStart"/>
      <w:r w:rsidRPr="002515F6">
        <w:rPr>
          <w:lang w:val="pl-PL"/>
        </w:rPr>
        <w:t>Bosmans</w:t>
      </w:r>
      <w:proofErr w:type="spellEnd"/>
      <w:r w:rsidRPr="002515F6">
        <w:rPr>
          <w:lang w:val="pl-PL"/>
        </w:rPr>
        <w:t>, Kierownik ds. komunikacji w PEGI S.A</w:t>
      </w:r>
      <w:r w:rsidR="00C154FF">
        <w:rPr>
          <w:lang w:val="pl-PL"/>
        </w:rPr>
        <w:t xml:space="preserve">. Mam nadzieję, że sklepy cyfrowe </w:t>
      </w:r>
      <w:r w:rsidR="0017208E">
        <w:rPr>
          <w:lang w:val="pl-PL"/>
        </w:rPr>
        <w:t>dostrzegą</w:t>
      </w:r>
      <w:r w:rsidR="00C154FF">
        <w:rPr>
          <w:lang w:val="pl-PL"/>
        </w:rPr>
        <w:t xml:space="preserve"> </w:t>
      </w:r>
      <w:r w:rsidR="0017208E">
        <w:rPr>
          <w:lang w:val="pl-PL"/>
        </w:rPr>
        <w:t>korzyści</w:t>
      </w:r>
      <w:r w:rsidR="00C154FF">
        <w:rPr>
          <w:lang w:val="pl-PL"/>
        </w:rPr>
        <w:t>, jakie daje ta przełomowa inicjatywa.</w:t>
      </w:r>
    </w:p>
    <w:p w14:paraId="0B49182B" w14:textId="77777777" w:rsidR="00C97BEB" w:rsidRPr="00C97BEB" w:rsidRDefault="00C97BEB" w:rsidP="00C97BEB">
      <w:pPr>
        <w:spacing w:before="100" w:beforeAutospacing="1" w:after="100" w:afterAutospacing="1"/>
        <w:jc w:val="both"/>
        <w:rPr>
          <w:lang w:val="pl-PL"/>
        </w:rPr>
      </w:pPr>
      <w:r w:rsidRPr="00C97BEB">
        <w:rPr>
          <w:lang w:val="pl-PL"/>
        </w:rPr>
        <w:t xml:space="preserve">„Jestem pod wrażeniem tego odpowiedzialnego posunięcia”, twierdzi Robert </w:t>
      </w:r>
      <w:proofErr w:type="spellStart"/>
      <w:r w:rsidRPr="00C97BEB">
        <w:rPr>
          <w:lang w:val="pl-PL"/>
        </w:rPr>
        <w:t>Madeline</w:t>
      </w:r>
      <w:proofErr w:type="spellEnd"/>
      <w:r w:rsidRPr="00C97BEB">
        <w:rPr>
          <w:lang w:val="pl-PL"/>
        </w:rPr>
        <w:t xml:space="preserve">, Dyrektor Generalny DG CONNECT, Komisji Europejskiej. „Objęcie aplikacji powszechnym, przejrzystym </w:t>
      </w:r>
      <w:r>
        <w:rPr>
          <w:lang w:val="pl-PL"/>
        </w:rPr>
        <w:br/>
      </w:r>
      <w:r w:rsidR="009368D4">
        <w:rPr>
          <w:lang w:val="pl-PL"/>
        </w:rPr>
        <w:t>i spójnym ra</w:t>
      </w:r>
      <w:r w:rsidRPr="00C97BEB">
        <w:rPr>
          <w:lang w:val="pl-PL"/>
        </w:rPr>
        <w:t>tingiem, który dla użytkowników jest już znany i zrozumiały to istotny krok czyniący Internet lepszym miejscem dla dzieci”</w:t>
      </w:r>
    </w:p>
    <w:p w14:paraId="0E30EFFB" w14:textId="77777777" w:rsidR="003A1383" w:rsidRPr="001F7D3A" w:rsidRDefault="003A1383" w:rsidP="003A1383">
      <w:pPr>
        <w:pStyle w:val="Bezodstpw"/>
        <w:spacing w:line="280" w:lineRule="auto"/>
        <w:jc w:val="both"/>
        <w:rPr>
          <w:u w:val="single"/>
          <w:lang w:val="pl-PL"/>
        </w:rPr>
      </w:pPr>
      <w:r w:rsidRPr="002515F6">
        <w:rPr>
          <w:u w:val="single"/>
          <w:lang w:val="pl-PL"/>
        </w:rPr>
        <w:t>Na temat IARC:</w:t>
      </w:r>
    </w:p>
    <w:p w14:paraId="0673392B" w14:textId="77777777" w:rsidR="003A1383" w:rsidRPr="001F7D3A" w:rsidRDefault="003A1383" w:rsidP="003A1383">
      <w:pPr>
        <w:pStyle w:val="Bezodstpw"/>
        <w:spacing w:line="276" w:lineRule="auto"/>
        <w:jc w:val="both"/>
        <w:rPr>
          <w:lang w:val="pl-PL"/>
        </w:rPr>
      </w:pPr>
    </w:p>
    <w:p w14:paraId="0D64D6F4" w14:textId="77777777" w:rsidR="00A511F6" w:rsidRDefault="003A1383" w:rsidP="003A1383">
      <w:pPr>
        <w:pStyle w:val="Bezodstpw"/>
        <w:spacing w:line="280" w:lineRule="auto"/>
        <w:jc w:val="both"/>
        <w:rPr>
          <w:lang w:val="pl-PL"/>
        </w:rPr>
      </w:pPr>
      <w:r w:rsidRPr="002515F6">
        <w:rPr>
          <w:lang w:val="pl-PL"/>
        </w:rPr>
        <w:t xml:space="preserve">System IARC </w:t>
      </w:r>
      <w:r>
        <w:rPr>
          <w:lang w:val="pl-PL"/>
        </w:rPr>
        <w:t xml:space="preserve">to ujednolicony proces klasyfikacji gier ze względu na wiek odbiorcy oraz treści zawarte w aplikacjach </w:t>
      </w:r>
      <w:r w:rsidRPr="002515F6">
        <w:rPr>
          <w:lang w:val="pl-PL"/>
        </w:rPr>
        <w:t>dostarczan</w:t>
      </w:r>
      <w:r>
        <w:rPr>
          <w:lang w:val="pl-PL"/>
        </w:rPr>
        <w:t>ych</w:t>
      </w:r>
      <w:r w:rsidRPr="002515F6">
        <w:rPr>
          <w:lang w:val="pl-PL"/>
        </w:rPr>
        <w:t xml:space="preserve"> w formie cyfrowej.</w:t>
      </w:r>
      <w:r w:rsidRPr="00AA419C">
        <w:rPr>
          <w:lang w:val="pl-PL"/>
        </w:rPr>
        <w:t xml:space="preserve"> </w:t>
      </w:r>
      <w:r>
        <w:rPr>
          <w:lang w:val="pl-PL"/>
        </w:rPr>
        <w:t xml:space="preserve">Ogromną zaletą systemu IARC jest to, że pozwala on </w:t>
      </w:r>
    </w:p>
    <w:p w14:paraId="7097082F" w14:textId="77777777" w:rsidR="00914178" w:rsidRDefault="003A1383" w:rsidP="003A1383">
      <w:pPr>
        <w:pStyle w:val="Bezodstpw"/>
        <w:spacing w:line="280" w:lineRule="auto"/>
        <w:jc w:val="both"/>
        <w:rPr>
          <w:lang w:val="pl-PL"/>
        </w:rPr>
      </w:pPr>
      <w:r>
        <w:rPr>
          <w:lang w:val="pl-PL"/>
        </w:rPr>
        <w:lastRenderedPageBreak/>
        <w:t xml:space="preserve">wydawcom na uproszczony sposób aplikacji o klasyfikację ich produktu. Mogą oni też stosować </w:t>
      </w:r>
      <w:r w:rsidRPr="002515F6">
        <w:rPr>
          <w:lang w:val="pl-PL"/>
        </w:rPr>
        <w:t xml:space="preserve"> </w:t>
      </w:r>
      <w:r>
        <w:rPr>
          <w:lang w:val="pl-PL"/>
        </w:rPr>
        <w:t>oznaczenia</w:t>
      </w:r>
      <w:r w:rsidRPr="002515F6">
        <w:rPr>
          <w:lang w:val="pl-PL"/>
        </w:rPr>
        <w:t xml:space="preserve"> IARC w sklepach internetowych, które wprowadziły system </w:t>
      </w:r>
      <w:r>
        <w:rPr>
          <w:lang w:val="pl-PL"/>
        </w:rPr>
        <w:t xml:space="preserve">i </w:t>
      </w:r>
      <w:r w:rsidRPr="002515F6">
        <w:rPr>
          <w:lang w:val="pl-PL"/>
        </w:rPr>
        <w:t>posiadają licencję</w:t>
      </w:r>
      <w:r>
        <w:rPr>
          <w:lang w:val="pl-PL"/>
        </w:rPr>
        <w:t xml:space="preserve">. </w:t>
      </w:r>
    </w:p>
    <w:p w14:paraId="6D21E018" w14:textId="77777777" w:rsidR="00914178" w:rsidRDefault="00914178" w:rsidP="003A1383">
      <w:pPr>
        <w:pStyle w:val="Bezodstpw"/>
        <w:spacing w:line="280" w:lineRule="auto"/>
        <w:jc w:val="both"/>
        <w:rPr>
          <w:lang w:val="pl-PL"/>
        </w:rPr>
      </w:pPr>
    </w:p>
    <w:p w14:paraId="479EDDA6" w14:textId="77777777" w:rsidR="003A1383" w:rsidRPr="00AA419C" w:rsidRDefault="003A1383" w:rsidP="003A1383">
      <w:pPr>
        <w:pStyle w:val="Bezodstpw"/>
        <w:spacing w:line="280" w:lineRule="auto"/>
        <w:jc w:val="both"/>
        <w:rPr>
          <w:lang w:val="pl-PL"/>
        </w:rPr>
      </w:pPr>
      <w:r w:rsidRPr="002515F6">
        <w:rPr>
          <w:lang w:val="pl-PL"/>
        </w:rPr>
        <w:t>Producenci używają systemu bez ponoszenia żadnych kosztów</w:t>
      </w:r>
      <w:r>
        <w:rPr>
          <w:lang w:val="pl-PL"/>
        </w:rPr>
        <w:t xml:space="preserve">. Kwestionariusz IARC łączy wszystkie kryteria uwzględniane w poszczególnych systemach. Po wypełnieniu tego dokumentu wydawca otrzymuje  automatycznie wygenerowany system oznaczeń typowych </w:t>
      </w:r>
      <w:r w:rsidRPr="002515F6">
        <w:rPr>
          <w:lang w:val="pl-PL"/>
        </w:rPr>
        <w:t>dla różnych regionów</w:t>
      </w:r>
      <w:r>
        <w:rPr>
          <w:lang w:val="pl-PL"/>
        </w:rPr>
        <w:t xml:space="preserve"> świata</w:t>
      </w:r>
      <w:r w:rsidRPr="002515F6">
        <w:rPr>
          <w:lang w:val="pl-PL"/>
        </w:rPr>
        <w:t>.</w:t>
      </w:r>
      <w:r w:rsidRPr="00AA419C">
        <w:rPr>
          <w:lang w:val="pl-PL"/>
        </w:rPr>
        <w:t xml:space="preserve">  </w:t>
      </w:r>
      <w:r>
        <w:rPr>
          <w:lang w:val="pl-PL"/>
        </w:rPr>
        <w:t xml:space="preserve">Oznaczenia </w:t>
      </w:r>
      <w:r w:rsidRPr="002515F6">
        <w:rPr>
          <w:lang w:val="pl-PL"/>
        </w:rPr>
        <w:t xml:space="preserve"> IARC są następnie przyjmowane przez sklep i wprowadzane do poszczególnych regionów.</w:t>
      </w:r>
      <w:r w:rsidRPr="00AA419C">
        <w:rPr>
          <w:lang w:val="pl-PL"/>
        </w:rPr>
        <w:t xml:space="preserve">  </w:t>
      </w:r>
      <w:r w:rsidRPr="002515F6">
        <w:rPr>
          <w:lang w:val="pl-PL"/>
        </w:rPr>
        <w:t xml:space="preserve">IARC i należące do niej organizacje ratingowe są odpowiedzialne za monitorowanie </w:t>
      </w:r>
      <w:r w:rsidR="00A21AC3">
        <w:rPr>
          <w:lang w:val="pl-PL"/>
        </w:rPr>
        <w:br/>
      </w:r>
      <w:r w:rsidRPr="002515F6">
        <w:rPr>
          <w:lang w:val="pl-PL"/>
        </w:rPr>
        <w:t xml:space="preserve">i </w:t>
      </w:r>
      <w:r w:rsidR="00621174">
        <w:rPr>
          <w:lang w:val="pl-PL"/>
        </w:rPr>
        <w:t>rzetelność</w:t>
      </w:r>
      <w:r w:rsidRPr="002515F6">
        <w:rPr>
          <w:lang w:val="pl-PL"/>
        </w:rPr>
        <w:t xml:space="preserve"> ocen przypisanych przez system.</w:t>
      </w:r>
      <w:r w:rsidRPr="00AA419C">
        <w:rPr>
          <w:lang w:val="pl-PL"/>
        </w:rPr>
        <w:t xml:space="preserve"> </w:t>
      </w:r>
      <w:r w:rsidR="00621174">
        <w:rPr>
          <w:lang w:val="pl-PL"/>
        </w:rPr>
        <w:t>Podstawowym celem IARC</w:t>
      </w:r>
      <w:r w:rsidRPr="002515F6">
        <w:rPr>
          <w:lang w:val="pl-PL"/>
        </w:rPr>
        <w:t xml:space="preserve"> jest zapewnienie </w:t>
      </w:r>
      <w:r>
        <w:rPr>
          <w:lang w:val="pl-PL"/>
        </w:rPr>
        <w:t>nabywcom</w:t>
      </w:r>
      <w:r w:rsidRPr="002515F6">
        <w:rPr>
          <w:lang w:val="pl-PL"/>
        </w:rPr>
        <w:t xml:space="preserve">, a w szczególności rodzicom, szerokiego dostępu do ugruntowanego, </w:t>
      </w:r>
      <w:r>
        <w:rPr>
          <w:lang w:val="pl-PL"/>
        </w:rPr>
        <w:t>wiarygodnego</w:t>
      </w:r>
      <w:r w:rsidRPr="002515F6">
        <w:rPr>
          <w:lang w:val="pl-PL"/>
        </w:rPr>
        <w:t xml:space="preserve"> systemu klasyfikacji uwzględniające</w:t>
      </w:r>
      <w:r>
        <w:rPr>
          <w:lang w:val="pl-PL"/>
        </w:rPr>
        <w:t>go</w:t>
      </w:r>
      <w:r w:rsidRPr="002515F6">
        <w:rPr>
          <w:lang w:val="pl-PL"/>
        </w:rPr>
        <w:t xml:space="preserve"> uwarunkowania lokalne dla produktów z sektora interaktywnej rozrywki, bez względu na typ urządz</w:t>
      </w:r>
      <w:r w:rsidR="00E31EDF">
        <w:rPr>
          <w:lang w:val="pl-PL"/>
        </w:rPr>
        <w:t xml:space="preserve">enia, na którym są one odtwarzane. </w:t>
      </w:r>
    </w:p>
    <w:p w14:paraId="34A9F68F" w14:textId="77777777" w:rsidR="003A1383" w:rsidRPr="00AA419C" w:rsidRDefault="003A1383" w:rsidP="003A1383">
      <w:pPr>
        <w:pStyle w:val="Bezodstpw"/>
        <w:spacing w:line="276" w:lineRule="auto"/>
        <w:jc w:val="both"/>
        <w:rPr>
          <w:lang w:val="pl-PL"/>
        </w:rPr>
      </w:pPr>
    </w:p>
    <w:p w14:paraId="776489D6" w14:textId="77777777" w:rsidR="003A1383" w:rsidRPr="00AA419C" w:rsidRDefault="003A1383" w:rsidP="003A1383">
      <w:pPr>
        <w:pStyle w:val="Bezodstpw"/>
        <w:spacing w:after="120" w:line="280" w:lineRule="auto"/>
        <w:jc w:val="both"/>
        <w:rPr>
          <w:lang w:val="pl-PL"/>
        </w:rPr>
      </w:pPr>
      <w:r w:rsidRPr="002515F6">
        <w:rPr>
          <w:lang w:val="pl-PL"/>
        </w:rPr>
        <w:t>Pierwsz</w:t>
      </w:r>
      <w:r>
        <w:rPr>
          <w:lang w:val="pl-PL"/>
        </w:rPr>
        <w:t>ych pięć</w:t>
      </w:r>
      <w:r w:rsidRPr="002515F6">
        <w:rPr>
          <w:lang w:val="pl-PL"/>
        </w:rPr>
        <w:t xml:space="preserve"> organizacj</w:t>
      </w:r>
      <w:r>
        <w:rPr>
          <w:lang w:val="pl-PL"/>
        </w:rPr>
        <w:t>i</w:t>
      </w:r>
      <w:r w:rsidRPr="002515F6">
        <w:rPr>
          <w:lang w:val="pl-PL"/>
        </w:rPr>
        <w:t xml:space="preserve"> ratingo</w:t>
      </w:r>
      <w:r>
        <w:rPr>
          <w:lang w:val="pl-PL"/>
        </w:rPr>
        <w:t>wych</w:t>
      </w:r>
      <w:r w:rsidRPr="002515F6">
        <w:rPr>
          <w:lang w:val="pl-PL"/>
        </w:rPr>
        <w:t xml:space="preserve"> należąc</w:t>
      </w:r>
      <w:r>
        <w:rPr>
          <w:lang w:val="pl-PL"/>
        </w:rPr>
        <w:t>ych</w:t>
      </w:r>
      <w:r w:rsidRPr="002515F6">
        <w:rPr>
          <w:lang w:val="pl-PL"/>
        </w:rPr>
        <w:t xml:space="preserve"> do IARC, które reprezentują łącznie regiony zamieszkałe przez ok</w:t>
      </w:r>
      <w:r w:rsidR="00621174">
        <w:rPr>
          <w:lang w:val="pl-PL"/>
        </w:rPr>
        <w:t>oło 1,5 miliarda ludzi, to</w:t>
      </w:r>
      <w:r w:rsidRPr="002515F6">
        <w:rPr>
          <w:lang w:val="pl-PL"/>
        </w:rPr>
        <w:t>:</w:t>
      </w:r>
    </w:p>
    <w:p w14:paraId="6708D84B" w14:textId="77777777" w:rsidR="003A1383" w:rsidRPr="00621174" w:rsidRDefault="003A1383" w:rsidP="003A1383">
      <w:pPr>
        <w:pStyle w:val="Bezodstpw"/>
        <w:numPr>
          <w:ilvl w:val="0"/>
          <w:numId w:val="1"/>
        </w:numPr>
        <w:spacing w:line="280" w:lineRule="auto"/>
        <w:ind w:left="1080"/>
        <w:jc w:val="both"/>
      </w:pPr>
      <w:r w:rsidRPr="00621174">
        <w:t>Pan European Game Information (PEGI) – Europa</w:t>
      </w:r>
    </w:p>
    <w:p w14:paraId="595E9155" w14:textId="77777777" w:rsidR="003A1383" w:rsidRPr="00621174" w:rsidRDefault="003A1383" w:rsidP="003A1383">
      <w:pPr>
        <w:pStyle w:val="Bezodstpw"/>
        <w:numPr>
          <w:ilvl w:val="0"/>
          <w:numId w:val="1"/>
        </w:numPr>
        <w:spacing w:line="280" w:lineRule="auto"/>
        <w:ind w:left="1080"/>
        <w:jc w:val="both"/>
      </w:pPr>
      <w:proofErr w:type="spellStart"/>
      <w:r w:rsidRPr="00621174">
        <w:rPr>
          <w:rStyle w:val="Wyrnienie"/>
          <w:i w:val="0"/>
          <w:lang w:val="pl-PL"/>
        </w:rPr>
        <w:t>Unterhaltungssoftware</w:t>
      </w:r>
      <w:proofErr w:type="spellEnd"/>
      <w:r w:rsidRPr="00621174">
        <w:rPr>
          <w:rStyle w:val="Wyrnienie"/>
          <w:i w:val="0"/>
          <w:lang w:val="pl-PL"/>
        </w:rPr>
        <w:t xml:space="preserve"> </w:t>
      </w:r>
      <w:proofErr w:type="spellStart"/>
      <w:r w:rsidRPr="00621174">
        <w:rPr>
          <w:rStyle w:val="Wyrnienie"/>
          <w:i w:val="0"/>
          <w:lang w:val="pl-PL"/>
        </w:rPr>
        <w:t>Selbstkontrolle</w:t>
      </w:r>
      <w:proofErr w:type="spellEnd"/>
      <w:r w:rsidRPr="00621174">
        <w:rPr>
          <w:rStyle w:val="Wyrnienie"/>
          <w:i w:val="0"/>
          <w:lang w:val="pl-PL"/>
        </w:rPr>
        <w:t xml:space="preserve"> (USK) – Niemcy</w:t>
      </w:r>
    </w:p>
    <w:p w14:paraId="1BFA4CC9" w14:textId="77777777" w:rsidR="003A1383" w:rsidRPr="00621174" w:rsidRDefault="003A1383" w:rsidP="003A1383">
      <w:pPr>
        <w:pStyle w:val="Bezodstpw"/>
        <w:numPr>
          <w:ilvl w:val="0"/>
          <w:numId w:val="1"/>
        </w:numPr>
        <w:spacing w:line="280" w:lineRule="auto"/>
        <w:ind w:left="1080"/>
        <w:jc w:val="both"/>
        <w:rPr>
          <w:rStyle w:val="Wyrnienie"/>
          <w:i w:val="0"/>
          <w:iCs w:val="0"/>
        </w:rPr>
      </w:pPr>
      <w:r w:rsidRPr="00621174">
        <w:t xml:space="preserve">Entertainment Software Rating Board (ESRB) – </w:t>
      </w:r>
      <w:proofErr w:type="spellStart"/>
      <w:r w:rsidRPr="00621174">
        <w:t>Ameryka</w:t>
      </w:r>
      <w:proofErr w:type="spellEnd"/>
      <w:r w:rsidRPr="00621174">
        <w:t xml:space="preserve"> </w:t>
      </w:r>
      <w:proofErr w:type="spellStart"/>
      <w:r w:rsidRPr="00621174">
        <w:t>Północna</w:t>
      </w:r>
      <w:proofErr w:type="spellEnd"/>
    </w:p>
    <w:p w14:paraId="6C608BDD" w14:textId="77777777" w:rsidR="003A1383" w:rsidRPr="00621174" w:rsidRDefault="003A1383" w:rsidP="003A1383">
      <w:pPr>
        <w:pStyle w:val="Bezodstpw"/>
        <w:numPr>
          <w:ilvl w:val="0"/>
          <w:numId w:val="1"/>
        </w:numPr>
        <w:spacing w:line="280" w:lineRule="auto"/>
        <w:ind w:left="1080"/>
        <w:jc w:val="both"/>
        <w:rPr>
          <w:rStyle w:val="Wyrnienie"/>
          <w:i w:val="0"/>
          <w:iCs w:val="0"/>
        </w:rPr>
      </w:pPr>
      <w:proofErr w:type="spellStart"/>
      <w:r w:rsidRPr="00621174">
        <w:rPr>
          <w:rStyle w:val="Wyrnienie"/>
          <w:rFonts w:cs="Arial"/>
          <w:bCs/>
          <w:i w:val="0"/>
          <w:shd w:val="clear" w:color="auto" w:fill="FFFFFF"/>
          <w:lang w:val="pl-PL"/>
        </w:rPr>
        <w:t>Classificação</w:t>
      </w:r>
      <w:proofErr w:type="spellEnd"/>
      <w:r w:rsidRPr="00621174">
        <w:rPr>
          <w:rStyle w:val="Wyrnienie"/>
          <w:rFonts w:cs="Arial"/>
          <w:bCs/>
          <w:i w:val="0"/>
          <w:shd w:val="clear" w:color="auto" w:fill="FFFFFF"/>
          <w:lang w:val="pl-PL"/>
        </w:rPr>
        <w:t xml:space="preserve"> </w:t>
      </w:r>
      <w:proofErr w:type="spellStart"/>
      <w:r w:rsidRPr="00621174">
        <w:rPr>
          <w:rStyle w:val="Wyrnienie"/>
          <w:rFonts w:cs="Arial"/>
          <w:bCs/>
          <w:i w:val="0"/>
          <w:shd w:val="clear" w:color="auto" w:fill="FFFFFF"/>
          <w:lang w:val="pl-PL"/>
        </w:rPr>
        <w:t>Indicativa</w:t>
      </w:r>
      <w:proofErr w:type="spellEnd"/>
      <w:r w:rsidRPr="00621174">
        <w:rPr>
          <w:rStyle w:val="Wyrnienie"/>
          <w:rFonts w:cs="Arial"/>
          <w:bCs/>
          <w:i w:val="0"/>
          <w:shd w:val="clear" w:color="auto" w:fill="FFFFFF"/>
          <w:lang w:val="pl-PL"/>
        </w:rPr>
        <w:t xml:space="preserve"> (</w:t>
      </w:r>
      <w:proofErr w:type="spellStart"/>
      <w:r w:rsidRPr="00621174">
        <w:rPr>
          <w:rStyle w:val="Wyrnienie"/>
          <w:rFonts w:cs="Arial"/>
          <w:bCs/>
          <w:i w:val="0"/>
          <w:shd w:val="clear" w:color="auto" w:fill="FFFFFF"/>
          <w:lang w:val="pl-PL"/>
        </w:rPr>
        <w:t>ClassInd</w:t>
      </w:r>
      <w:proofErr w:type="spellEnd"/>
      <w:r w:rsidRPr="00621174">
        <w:rPr>
          <w:rStyle w:val="Wyrnienie"/>
          <w:rFonts w:cs="Arial"/>
          <w:bCs/>
          <w:i w:val="0"/>
          <w:shd w:val="clear" w:color="auto" w:fill="FFFFFF"/>
          <w:lang w:val="pl-PL"/>
        </w:rPr>
        <w:t>) – Brazylia</w:t>
      </w:r>
    </w:p>
    <w:p w14:paraId="4EE29D1D" w14:textId="77777777" w:rsidR="003A1383" w:rsidRPr="00621174" w:rsidRDefault="003A1383" w:rsidP="003A1383">
      <w:pPr>
        <w:pStyle w:val="Bezodstpw"/>
        <w:numPr>
          <w:ilvl w:val="0"/>
          <w:numId w:val="1"/>
        </w:numPr>
        <w:spacing w:line="276" w:lineRule="auto"/>
        <w:ind w:left="1080"/>
        <w:rPr>
          <w:rStyle w:val="Wyrnienie"/>
          <w:i w:val="0"/>
          <w:iCs w:val="0"/>
        </w:rPr>
      </w:pPr>
      <w:r w:rsidRPr="00621174">
        <w:rPr>
          <w:rStyle w:val="Wyrnienie"/>
          <w:rFonts w:cs="Arial"/>
          <w:bCs/>
          <w:i w:val="0"/>
          <w:shd w:val="clear" w:color="auto" w:fill="FFFFFF"/>
        </w:rPr>
        <w:t>Classification Board - Australia</w:t>
      </w:r>
    </w:p>
    <w:p w14:paraId="66B236E0" w14:textId="77777777" w:rsidR="003A1383" w:rsidRDefault="003A1383" w:rsidP="003A1383">
      <w:pPr>
        <w:pStyle w:val="Bezodstpw"/>
        <w:spacing w:line="280" w:lineRule="auto"/>
        <w:ind w:left="1080"/>
        <w:jc w:val="both"/>
        <w:rPr>
          <w:rStyle w:val="Wyrnienie"/>
          <w:i w:val="0"/>
          <w:iCs w:val="0"/>
        </w:rPr>
      </w:pPr>
    </w:p>
    <w:p w14:paraId="5DF02B4E" w14:textId="77777777" w:rsidR="0017208E" w:rsidRDefault="0017208E" w:rsidP="0017208E">
      <w:pPr>
        <w:pStyle w:val="Bezodstpw"/>
        <w:spacing w:line="280" w:lineRule="auto"/>
        <w:jc w:val="both"/>
        <w:rPr>
          <w:u w:val="single"/>
          <w:lang w:val="pl-PL"/>
        </w:rPr>
      </w:pPr>
      <w:r w:rsidRPr="00A21AC3">
        <w:rPr>
          <w:u w:val="single"/>
          <w:lang w:val="pl-PL"/>
        </w:rPr>
        <w:t xml:space="preserve">Na temat PEGI </w:t>
      </w:r>
    </w:p>
    <w:p w14:paraId="61BA39CF" w14:textId="77777777" w:rsidR="0017208E" w:rsidRPr="00A21AC3" w:rsidRDefault="0017208E" w:rsidP="0017208E">
      <w:pPr>
        <w:pStyle w:val="Bezodstpw"/>
        <w:spacing w:line="280" w:lineRule="auto"/>
        <w:jc w:val="both"/>
        <w:rPr>
          <w:u w:val="single"/>
          <w:lang w:val="pl-PL"/>
        </w:rPr>
      </w:pPr>
    </w:p>
    <w:p w14:paraId="4048984F" w14:textId="77777777" w:rsidR="0017208E" w:rsidRPr="00621174" w:rsidRDefault="0017208E" w:rsidP="0017208E">
      <w:pPr>
        <w:widowControl w:val="0"/>
        <w:autoSpaceDE w:val="0"/>
        <w:autoSpaceDN w:val="0"/>
        <w:adjustRightInd w:val="0"/>
        <w:jc w:val="both"/>
        <w:rPr>
          <w:rFonts w:asciiTheme="minorHAnsi" w:eastAsiaTheme="minorEastAsia" w:hAnsiTheme="minorHAnsi" w:cs="Times"/>
          <w:lang w:val="pl-PL"/>
        </w:rPr>
      </w:pPr>
      <w:r w:rsidRPr="00E7028E">
        <w:rPr>
          <w:rFonts w:asciiTheme="minorHAnsi" w:hAnsiTheme="minorHAnsi"/>
          <w:lang w:val="pl-PL"/>
        </w:rPr>
        <w:t xml:space="preserve">PEGI - Pan </w:t>
      </w:r>
      <w:proofErr w:type="spellStart"/>
      <w:r w:rsidRPr="00E7028E">
        <w:rPr>
          <w:rFonts w:asciiTheme="minorHAnsi" w:hAnsiTheme="minorHAnsi"/>
          <w:lang w:val="pl-PL"/>
        </w:rPr>
        <w:t>European</w:t>
      </w:r>
      <w:proofErr w:type="spellEnd"/>
      <w:r w:rsidRPr="00E7028E">
        <w:rPr>
          <w:rFonts w:asciiTheme="minorHAnsi" w:hAnsiTheme="minorHAnsi"/>
          <w:lang w:val="pl-PL"/>
        </w:rPr>
        <w:t xml:space="preserve"> Game Information to ogólnoeuropejski system klasyfikacji gier, który d</w:t>
      </w:r>
      <w:r w:rsidRPr="00E7028E">
        <w:rPr>
          <w:rFonts w:asciiTheme="minorHAnsi" w:eastAsiaTheme="minorEastAsia" w:hAnsiTheme="minorHAnsi" w:cs="Times"/>
          <w:lang w:val="pl-PL"/>
        </w:rPr>
        <w:t xml:space="preserve">ostarcza konsumentom wiarygodnych informacji o stosowności gry z punktu widzenia ochrony małoletnich przed dostępem do potencjalnie niewłaściwych treści. </w:t>
      </w:r>
      <w:r w:rsidRPr="00E7028E">
        <w:rPr>
          <w:rFonts w:asciiTheme="minorHAnsi" w:hAnsiTheme="minorHAnsi"/>
          <w:lang w:val="pl-PL"/>
        </w:rPr>
        <w:t>PEGI, poprzez czytelny system oznaczeń wieku i treści</w:t>
      </w:r>
      <w:r>
        <w:rPr>
          <w:rFonts w:asciiTheme="minorHAnsi" w:hAnsiTheme="minorHAnsi"/>
          <w:lang w:val="pl-PL"/>
        </w:rPr>
        <w:t>,</w:t>
      </w:r>
      <w:r w:rsidRPr="00E7028E">
        <w:rPr>
          <w:rFonts w:asciiTheme="minorHAnsi" w:hAnsiTheme="minorHAnsi"/>
          <w:lang w:val="pl-PL"/>
        </w:rPr>
        <w:t xml:space="preserve"> pozwala rodzicom i opiekunom na dokonanie właściwego wyboru </w:t>
      </w:r>
      <w:r>
        <w:rPr>
          <w:rFonts w:asciiTheme="minorHAnsi" w:hAnsiTheme="minorHAnsi"/>
          <w:lang w:val="pl-PL"/>
        </w:rPr>
        <w:t>podczas zakupu gier dla ich pod</w:t>
      </w:r>
      <w:r w:rsidRPr="00E7028E">
        <w:rPr>
          <w:rFonts w:asciiTheme="minorHAnsi" w:hAnsiTheme="minorHAnsi"/>
          <w:lang w:val="pl-PL"/>
        </w:rPr>
        <w:t>opiecznych. PEGI także zapewnia odpowiedzialny sposób reklamowan</w:t>
      </w:r>
      <w:r w:rsidR="009368D4">
        <w:rPr>
          <w:rFonts w:asciiTheme="minorHAnsi" w:hAnsiTheme="minorHAnsi"/>
          <w:lang w:val="pl-PL"/>
        </w:rPr>
        <w:t>ia oraz sprzedaży gier. Gry</w:t>
      </w:r>
      <w:r w:rsidRPr="00E7028E">
        <w:rPr>
          <w:rFonts w:asciiTheme="minorHAnsi" w:hAnsiTheme="minorHAnsi"/>
          <w:lang w:val="pl-PL"/>
        </w:rPr>
        <w:t xml:space="preserve"> klasyfikowane w systemie PEGI dostępne są w 38 krajach. </w:t>
      </w:r>
    </w:p>
    <w:p w14:paraId="3C07EDEF" w14:textId="77777777" w:rsidR="0017208E" w:rsidRPr="00E7028E" w:rsidRDefault="0017208E" w:rsidP="0017208E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lang w:val="pl-PL"/>
        </w:rPr>
      </w:pPr>
      <w:r w:rsidRPr="00E7028E">
        <w:rPr>
          <w:rFonts w:asciiTheme="minorHAnsi" w:hAnsiTheme="minorHAnsi"/>
          <w:lang w:val="pl-PL"/>
        </w:rPr>
        <w:t xml:space="preserve">Więcej informacji na stronie: </w:t>
      </w:r>
    </w:p>
    <w:p w14:paraId="2E92964E" w14:textId="4BF070C7" w:rsidR="0041022D" w:rsidRDefault="006A7A1D" w:rsidP="00AB1EF5">
      <w:pPr>
        <w:widowControl w:val="0"/>
        <w:autoSpaceDE w:val="0"/>
        <w:autoSpaceDN w:val="0"/>
        <w:adjustRightInd w:val="0"/>
        <w:jc w:val="both"/>
      </w:pPr>
      <w:hyperlink r:id="rId8" w:history="1">
        <w:r w:rsidR="0017208E" w:rsidRPr="00EF5CCA">
          <w:rPr>
            <w:rStyle w:val="Hipercze"/>
            <w:rFonts w:asciiTheme="minorHAnsi" w:hAnsiTheme="minorHAnsi"/>
            <w:lang w:val="pl-PL"/>
          </w:rPr>
          <w:t>www.pegi.info</w:t>
        </w:r>
      </w:hyperlink>
      <w:r w:rsidR="0041022D">
        <w:t xml:space="preserve"> </w:t>
      </w:r>
    </w:p>
    <w:p w14:paraId="62235B15" w14:textId="016A17D7" w:rsidR="0041022D" w:rsidRDefault="0041022D" w:rsidP="00AB1EF5">
      <w:pPr>
        <w:widowControl w:val="0"/>
        <w:autoSpaceDE w:val="0"/>
        <w:autoSpaceDN w:val="0"/>
        <w:adjustRightInd w:val="0"/>
        <w:jc w:val="both"/>
      </w:pPr>
      <w:r>
        <w:t>www.spidor.pl</w:t>
      </w:r>
    </w:p>
    <w:p w14:paraId="037BCB5B" w14:textId="725E3B9A" w:rsidR="003A1383" w:rsidRPr="00AB1EF5" w:rsidRDefault="00621174" w:rsidP="00AB1EF5">
      <w:pPr>
        <w:widowControl w:val="0"/>
        <w:autoSpaceDE w:val="0"/>
        <w:autoSpaceDN w:val="0"/>
        <w:adjustRightInd w:val="0"/>
        <w:jc w:val="both"/>
      </w:pPr>
      <w:r w:rsidRPr="000A1A91">
        <w:rPr>
          <w:rFonts w:asciiTheme="minorHAnsi" w:hAnsiTheme="minorHAnsi"/>
          <w:lang w:val="pl-PL"/>
        </w:rPr>
        <w:t>Kontakt</w:t>
      </w:r>
      <w:r w:rsidR="003A1383" w:rsidRPr="000A1A91">
        <w:rPr>
          <w:rFonts w:asciiTheme="minorHAnsi" w:hAnsiTheme="minorHAnsi"/>
          <w:lang w:val="pl-PL"/>
        </w:rPr>
        <w:t>:</w:t>
      </w:r>
    </w:p>
    <w:p w14:paraId="3F3524E5" w14:textId="77777777" w:rsidR="003A1383" w:rsidRPr="000A1A91" w:rsidRDefault="00621174" w:rsidP="00621174">
      <w:pPr>
        <w:pStyle w:val="Bezodstpw"/>
        <w:spacing w:line="276" w:lineRule="auto"/>
        <w:rPr>
          <w:rFonts w:asciiTheme="minorHAnsi" w:hAnsiTheme="minorHAnsi"/>
          <w:lang w:val="pl-PL"/>
        </w:rPr>
      </w:pPr>
      <w:r w:rsidRPr="000A1A91">
        <w:rPr>
          <w:rFonts w:asciiTheme="minorHAnsi" w:hAnsiTheme="minorHAnsi"/>
          <w:lang w:val="pl-PL"/>
        </w:rPr>
        <w:t>Stowarzyszenie Producentów i Dystrybutorów Oprogramowania Rozrywkowego</w:t>
      </w:r>
    </w:p>
    <w:p w14:paraId="74D53FED" w14:textId="77777777" w:rsidR="00621174" w:rsidRPr="000A1A91" w:rsidRDefault="00621174" w:rsidP="00621174">
      <w:pPr>
        <w:pStyle w:val="Bezodstpw"/>
        <w:spacing w:line="276" w:lineRule="auto"/>
        <w:rPr>
          <w:rFonts w:asciiTheme="minorHAnsi" w:hAnsiTheme="minorHAnsi"/>
          <w:lang w:val="pl-PL"/>
        </w:rPr>
      </w:pPr>
      <w:r w:rsidRPr="000A1A91">
        <w:rPr>
          <w:rFonts w:asciiTheme="minorHAnsi" w:hAnsiTheme="minorHAnsi"/>
          <w:lang w:val="pl-PL"/>
        </w:rPr>
        <w:t>Dr Dominika Urbańska – Galanciak</w:t>
      </w:r>
    </w:p>
    <w:p w14:paraId="34026607" w14:textId="77777777" w:rsidR="00621174" w:rsidRDefault="006A7A1D" w:rsidP="00621174">
      <w:pPr>
        <w:pStyle w:val="Bezodstpw"/>
        <w:spacing w:line="276" w:lineRule="auto"/>
        <w:rPr>
          <w:rFonts w:asciiTheme="minorHAnsi" w:hAnsiTheme="minorHAnsi"/>
          <w:lang w:val="pl-PL"/>
        </w:rPr>
      </w:pPr>
      <w:hyperlink r:id="rId9" w:history="1">
        <w:r w:rsidR="000A1A91" w:rsidRPr="00EF5CCA">
          <w:rPr>
            <w:rStyle w:val="Hipercze"/>
            <w:rFonts w:asciiTheme="minorHAnsi" w:hAnsiTheme="minorHAnsi"/>
            <w:lang w:val="pl-PL"/>
          </w:rPr>
          <w:t>durbanska@spidor.pl</w:t>
        </w:r>
      </w:hyperlink>
    </w:p>
    <w:p w14:paraId="5B10E8FE" w14:textId="77777777" w:rsidR="00621174" w:rsidRPr="000A1A91" w:rsidRDefault="00621174" w:rsidP="00621174">
      <w:pPr>
        <w:pStyle w:val="Bezodstpw"/>
        <w:spacing w:line="276" w:lineRule="auto"/>
        <w:rPr>
          <w:rFonts w:asciiTheme="minorHAnsi" w:hAnsiTheme="minorHAnsi"/>
          <w:lang w:val="pl-PL"/>
        </w:rPr>
      </w:pPr>
    </w:p>
    <w:p w14:paraId="32C738EF" w14:textId="77777777" w:rsidR="00621174" w:rsidRDefault="00621174" w:rsidP="003A1383">
      <w:pPr>
        <w:pStyle w:val="Bezodstpw"/>
        <w:spacing w:line="276" w:lineRule="auto"/>
        <w:rPr>
          <w:rFonts w:asciiTheme="minorHAnsi" w:hAnsiTheme="minorHAnsi"/>
        </w:rPr>
      </w:pPr>
      <w:proofErr w:type="spellStart"/>
      <w:proofErr w:type="gramStart"/>
      <w:r>
        <w:rPr>
          <w:rFonts w:asciiTheme="minorHAnsi" w:hAnsiTheme="minorHAnsi"/>
        </w:rPr>
        <w:t>oraz</w:t>
      </w:r>
      <w:proofErr w:type="spellEnd"/>
      <w:proofErr w:type="gramEnd"/>
    </w:p>
    <w:p w14:paraId="1FDFE871" w14:textId="77777777" w:rsidR="00621174" w:rsidRDefault="003A1383" w:rsidP="00621174">
      <w:pPr>
        <w:pStyle w:val="Bezodstpw"/>
        <w:spacing w:line="276" w:lineRule="auto"/>
        <w:rPr>
          <w:rFonts w:asciiTheme="minorHAnsi" w:hAnsiTheme="minorHAnsi"/>
        </w:rPr>
      </w:pPr>
      <w:r w:rsidRPr="00E7028E">
        <w:rPr>
          <w:rFonts w:asciiTheme="minorHAnsi" w:hAnsiTheme="minorHAnsi"/>
        </w:rPr>
        <w:t xml:space="preserve">Dirk </w:t>
      </w:r>
      <w:proofErr w:type="spellStart"/>
      <w:r w:rsidRPr="00E7028E">
        <w:rPr>
          <w:rFonts w:asciiTheme="minorHAnsi" w:hAnsiTheme="minorHAnsi"/>
        </w:rPr>
        <w:t>Bosmans</w:t>
      </w:r>
      <w:proofErr w:type="spellEnd"/>
      <w:r w:rsidR="00621174" w:rsidRPr="00621174">
        <w:rPr>
          <w:rFonts w:asciiTheme="minorHAnsi" w:hAnsiTheme="minorHAnsi"/>
        </w:rPr>
        <w:t xml:space="preserve"> </w:t>
      </w:r>
    </w:p>
    <w:p w14:paraId="6BE4F2B1" w14:textId="77777777" w:rsidR="003A1383" w:rsidRPr="00E7028E" w:rsidRDefault="00621174" w:rsidP="003A1383">
      <w:pPr>
        <w:pStyle w:val="Bezodstpw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PEGI S.A.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493F609E" w14:textId="77777777" w:rsidR="003A1383" w:rsidRPr="00E7028E" w:rsidRDefault="00AB1EF5" w:rsidP="003A1383">
      <w:pPr>
        <w:pStyle w:val="Bezodstpw"/>
        <w:spacing w:line="276" w:lineRule="auto"/>
        <w:rPr>
          <w:rFonts w:asciiTheme="minorHAnsi" w:hAnsiTheme="minorHAnsi"/>
        </w:rPr>
      </w:pPr>
      <w:hyperlink r:id="rId10" w:history="1">
        <w:r w:rsidR="003A1383" w:rsidRPr="00E7028E">
          <w:rPr>
            <w:rStyle w:val="Hipercze"/>
            <w:rFonts w:asciiTheme="minorHAnsi" w:hAnsiTheme="minorHAnsi"/>
          </w:rPr>
          <w:t>dirk.bosmans@pegi.eu</w:t>
        </w:r>
      </w:hyperlink>
      <w:r w:rsidR="00621174">
        <w:rPr>
          <w:rFonts w:asciiTheme="minorHAnsi" w:hAnsiTheme="minorHAnsi"/>
        </w:rPr>
        <w:tab/>
      </w:r>
      <w:r w:rsidR="00621174">
        <w:rPr>
          <w:rFonts w:asciiTheme="minorHAnsi" w:hAnsiTheme="minorHAnsi"/>
        </w:rPr>
        <w:tab/>
      </w:r>
      <w:r w:rsidR="00621174">
        <w:rPr>
          <w:rFonts w:asciiTheme="minorHAnsi" w:hAnsiTheme="minorHAnsi"/>
        </w:rPr>
        <w:tab/>
      </w:r>
      <w:r w:rsidR="00621174">
        <w:rPr>
          <w:rFonts w:asciiTheme="minorHAnsi" w:hAnsiTheme="minorHAnsi"/>
        </w:rPr>
        <w:tab/>
      </w:r>
      <w:bookmarkStart w:id="0" w:name="_GoBack"/>
      <w:bookmarkEnd w:id="0"/>
    </w:p>
    <w:p w14:paraId="1F6A7208" w14:textId="77777777" w:rsidR="005A2934" w:rsidRPr="003A1383" w:rsidRDefault="003A1383" w:rsidP="00A511F6">
      <w:pPr>
        <w:widowControl w:val="0"/>
        <w:autoSpaceDE w:val="0"/>
        <w:autoSpaceDN w:val="0"/>
        <w:adjustRightInd w:val="0"/>
        <w:jc w:val="both"/>
      </w:pPr>
      <w:r w:rsidRPr="00E7028E">
        <w:rPr>
          <w:rFonts w:asciiTheme="minorHAnsi" w:hAnsiTheme="minorHAnsi"/>
          <w:lang w:val="pl-PL"/>
        </w:rPr>
        <w:lastRenderedPageBreak/>
        <w:t>+32 2 612 17 73</w:t>
      </w:r>
      <w:r w:rsidRPr="00E7028E">
        <w:rPr>
          <w:rFonts w:asciiTheme="minorHAnsi" w:hAnsiTheme="minorHAnsi"/>
          <w:lang w:val="pl-PL"/>
        </w:rPr>
        <w:tab/>
      </w:r>
      <w:r w:rsidRPr="00E7028E">
        <w:rPr>
          <w:rFonts w:asciiTheme="minorHAnsi" w:hAnsiTheme="minorHAnsi"/>
          <w:lang w:val="pl-PL"/>
        </w:rPr>
        <w:tab/>
      </w:r>
    </w:p>
    <w:sectPr w:rsidR="005A2934" w:rsidRPr="003A1383" w:rsidSect="005A293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A9F700" w14:textId="77777777" w:rsidR="00AB1EF5" w:rsidRDefault="00AB1EF5" w:rsidP="003A1383">
      <w:pPr>
        <w:spacing w:after="0" w:line="240" w:lineRule="auto"/>
      </w:pPr>
      <w:r>
        <w:separator/>
      </w:r>
    </w:p>
  </w:endnote>
  <w:endnote w:type="continuationSeparator" w:id="0">
    <w:p w14:paraId="5FD7BD69" w14:textId="77777777" w:rsidR="00AB1EF5" w:rsidRDefault="00AB1EF5" w:rsidP="003A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54E35" w14:textId="77777777" w:rsidR="00AB1EF5" w:rsidRDefault="00AB1EF5" w:rsidP="003A1383">
      <w:pPr>
        <w:spacing w:after="0" w:line="240" w:lineRule="auto"/>
      </w:pPr>
      <w:r>
        <w:separator/>
      </w:r>
    </w:p>
  </w:footnote>
  <w:footnote w:type="continuationSeparator" w:id="0">
    <w:p w14:paraId="621D04FD" w14:textId="77777777" w:rsidR="00AB1EF5" w:rsidRDefault="00AB1EF5" w:rsidP="003A1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763D0" w14:textId="77777777" w:rsidR="00AB1EF5" w:rsidRDefault="00AB1EF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6C7AF291" wp14:editId="43B8A22E">
          <wp:simplePos x="0" y="0"/>
          <wp:positionH relativeFrom="column">
            <wp:posOffset>1235135</wp:posOffset>
          </wp:positionH>
          <wp:positionV relativeFrom="paragraph">
            <wp:posOffset>-141236</wp:posOffset>
          </wp:positionV>
          <wp:extent cx="2426438" cy="404037"/>
          <wp:effectExtent l="19050" t="0" r="0" b="0"/>
          <wp:wrapNone/>
          <wp:docPr id="2" name="Obraz 1" descr="C:\Users\User\Desktop\logo w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o w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438" cy="4040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D32A225" wp14:editId="3A831A57">
          <wp:simplePos x="0" y="0"/>
          <wp:positionH relativeFrom="column">
            <wp:posOffset>3922395</wp:posOffset>
          </wp:positionH>
          <wp:positionV relativeFrom="paragraph">
            <wp:posOffset>-269240</wp:posOffset>
          </wp:positionV>
          <wp:extent cx="522605" cy="637540"/>
          <wp:effectExtent l="19050" t="0" r="0" b="0"/>
          <wp:wrapNone/>
          <wp:docPr id="11" name="Picture 1" descr="age-3-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e-3-blac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637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52965E96" wp14:editId="6DB7784E">
          <wp:simplePos x="0" y="0"/>
          <wp:positionH relativeFrom="column">
            <wp:posOffset>4443730</wp:posOffset>
          </wp:positionH>
          <wp:positionV relativeFrom="paragraph">
            <wp:posOffset>-269240</wp:posOffset>
          </wp:positionV>
          <wp:extent cx="522605" cy="637540"/>
          <wp:effectExtent l="19050" t="0" r="0" b="0"/>
          <wp:wrapNone/>
          <wp:docPr id="12" name="Picture 2" descr="age-7-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ge-7-black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637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328F440B" wp14:editId="3D322FA4">
          <wp:simplePos x="0" y="0"/>
          <wp:positionH relativeFrom="column">
            <wp:posOffset>4968240</wp:posOffset>
          </wp:positionH>
          <wp:positionV relativeFrom="paragraph">
            <wp:posOffset>-269240</wp:posOffset>
          </wp:positionV>
          <wp:extent cx="544195" cy="637540"/>
          <wp:effectExtent l="19050" t="0" r="8255" b="0"/>
          <wp:wrapNone/>
          <wp:docPr id="13" name="Picture 3" descr="age-12-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ge-12-black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637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495A71A8" wp14:editId="2DC71406">
          <wp:simplePos x="0" y="0"/>
          <wp:positionH relativeFrom="column">
            <wp:posOffset>5510530</wp:posOffset>
          </wp:positionH>
          <wp:positionV relativeFrom="paragraph">
            <wp:posOffset>-269240</wp:posOffset>
          </wp:positionV>
          <wp:extent cx="544195" cy="637540"/>
          <wp:effectExtent l="19050" t="0" r="8255" b="0"/>
          <wp:wrapNone/>
          <wp:docPr id="14" name="Picture 4" descr="age-16-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ge-16-black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637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4957E36D" wp14:editId="4BBC9DBF">
          <wp:simplePos x="0" y="0"/>
          <wp:positionH relativeFrom="column">
            <wp:posOffset>6051683</wp:posOffset>
          </wp:positionH>
          <wp:positionV relativeFrom="paragraph">
            <wp:posOffset>-268827</wp:posOffset>
          </wp:positionV>
          <wp:extent cx="523211" cy="637954"/>
          <wp:effectExtent l="19050" t="0" r="0" b="0"/>
          <wp:wrapNone/>
          <wp:docPr id="15" name="Picture 5" descr="age-18-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ge-18-black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211" cy="6379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DFC775D" wp14:editId="797BEF7E">
          <wp:simplePos x="0" y="0"/>
          <wp:positionH relativeFrom="column">
            <wp:posOffset>-423545</wp:posOffset>
          </wp:positionH>
          <wp:positionV relativeFrom="paragraph">
            <wp:posOffset>-258445</wp:posOffset>
          </wp:positionV>
          <wp:extent cx="1490345" cy="626745"/>
          <wp:effectExtent l="19050" t="0" r="0" b="0"/>
          <wp:wrapNone/>
          <wp:docPr id="1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345" cy="626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6ACEB05" w14:textId="77777777" w:rsidR="00AB1EF5" w:rsidRDefault="00AB1EF5">
    <w:pPr>
      <w:pStyle w:val="Nagwek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40993"/>
    <w:multiLevelType w:val="hybridMultilevel"/>
    <w:tmpl w:val="117E4FCE"/>
    <w:lvl w:ilvl="0" w:tplc="0409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383"/>
    <w:rsid w:val="000216AB"/>
    <w:rsid w:val="000A1A91"/>
    <w:rsid w:val="0017208E"/>
    <w:rsid w:val="001767DB"/>
    <w:rsid w:val="001D476D"/>
    <w:rsid w:val="002E65EF"/>
    <w:rsid w:val="003A1383"/>
    <w:rsid w:val="0041022D"/>
    <w:rsid w:val="005A2934"/>
    <w:rsid w:val="00621174"/>
    <w:rsid w:val="0069485B"/>
    <w:rsid w:val="006A7A1D"/>
    <w:rsid w:val="006F43F6"/>
    <w:rsid w:val="008A0DBD"/>
    <w:rsid w:val="008C1B36"/>
    <w:rsid w:val="00914178"/>
    <w:rsid w:val="009368D4"/>
    <w:rsid w:val="00A21AC3"/>
    <w:rsid w:val="00A511F6"/>
    <w:rsid w:val="00AB1EF5"/>
    <w:rsid w:val="00AD76A9"/>
    <w:rsid w:val="00C154FF"/>
    <w:rsid w:val="00C61835"/>
    <w:rsid w:val="00C97BEB"/>
    <w:rsid w:val="00E3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16DA9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383"/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1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383"/>
    <w:rPr>
      <w:rFonts w:ascii="Tahoma" w:hAnsi="Tahoma" w:cs="Tahoma"/>
      <w:sz w:val="16"/>
      <w:szCs w:val="16"/>
    </w:rPr>
  </w:style>
  <w:style w:type="paragraph" w:customStyle="1" w:styleId="Body">
    <w:name w:val="Body"/>
    <w:uiPriority w:val="99"/>
    <w:rsid w:val="003A138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eastAsia="Calibri" w:hAnsi="Calibri" w:cs="Calibri"/>
      <w:color w:val="000000"/>
      <w:u w:color="000000"/>
      <w:lang w:val="nl-BE" w:eastAsia="nl-BE"/>
    </w:rPr>
  </w:style>
  <w:style w:type="paragraph" w:styleId="Nagwek">
    <w:name w:val="header"/>
    <w:basedOn w:val="Normalny"/>
    <w:link w:val="NagwekZnak"/>
    <w:uiPriority w:val="99"/>
    <w:unhideWhenUsed/>
    <w:rsid w:val="003A1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383"/>
  </w:style>
  <w:style w:type="paragraph" w:styleId="Stopka">
    <w:name w:val="footer"/>
    <w:basedOn w:val="Normalny"/>
    <w:link w:val="StopkaZnak"/>
    <w:uiPriority w:val="99"/>
    <w:semiHidden/>
    <w:unhideWhenUsed/>
    <w:rsid w:val="003A1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A1383"/>
  </w:style>
  <w:style w:type="paragraph" w:styleId="Bezodstpw">
    <w:name w:val="No Spacing"/>
    <w:uiPriority w:val="1"/>
    <w:qFormat/>
    <w:rsid w:val="003A1383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Wyrnienie">
    <w:name w:val="Emphasis"/>
    <w:basedOn w:val="Domylnaczcionkaakapitu"/>
    <w:uiPriority w:val="20"/>
    <w:qFormat/>
    <w:rsid w:val="003A1383"/>
    <w:rPr>
      <w:rFonts w:cs="Times New Roman"/>
      <w:i/>
      <w:iCs/>
    </w:rPr>
  </w:style>
  <w:style w:type="character" w:styleId="Hipercze">
    <w:name w:val="Hyperlink"/>
    <w:basedOn w:val="Domylnaczcionkaakapitu"/>
    <w:uiPriority w:val="99"/>
    <w:rsid w:val="003A1383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Domylnaczcionkaakapitu"/>
    <w:rsid w:val="00C97BE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383"/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1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383"/>
    <w:rPr>
      <w:rFonts w:ascii="Tahoma" w:hAnsi="Tahoma" w:cs="Tahoma"/>
      <w:sz w:val="16"/>
      <w:szCs w:val="16"/>
    </w:rPr>
  </w:style>
  <w:style w:type="paragraph" w:customStyle="1" w:styleId="Body">
    <w:name w:val="Body"/>
    <w:uiPriority w:val="99"/>
    <w:rsid w:val="003A138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eastAsia="Calibri" w:hAnsi="Calibri" w:cs="Calibri"/>
      <w:color w:val="000000"/>
      <w:u w:color="000000"/>
      <w:lang w:val="nl-BE" w:eastAsia="nl-BE"/>
    </w:rPr>
  </w:style>
  <w:style w:type="paragraph" w:styleId="Nagwek">
    <w:name w:val="header"/>
    <w:basedOn w:val="Normalny"/>
    <w:link w:val="NagwekZnak"/>
    <w:uiPriority w:val="99"/>
    <w:unhideWhenUsed/>
    <w:rsid w:val="003A1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383"/>
  </w:style>
  <w:style w:type="paragraph" w:styleId="Stopka">
    <w:name w:val="footer"/>
    <w:basedOn w:val="Normalny"/>
    <w:link w:val="StopkaZnak"/>
    <w:uiPriority w:val="99"/>
    <w:semiHidden/>
    <w:unhideWhenUsed/>
    <w:rsid w:val="003A1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A1383"/>
  </w:style>
  <w:style w:type="paragraph" w:styleId="Bezodstpw">
    <w:name w:val="No Spacing"/>
    <w:uiPriority w:val="1"/>
    <w:qFormat/>
    <w:rsid w:val="003A1383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Wyrnienie">
    <w:name w:val="Emphasis"/>
    <w:basedOn w:val="Domylnaczcionkaakapitu"/>
    <w:uiPriority w:val="20"/>
    <w:qFormat/>
    <w:rsid w:val="003A1383"/>
    <w:rPr>
      <w:rFonts w:cs="Times New Roman"/>
      <w:i/>
      <w:iCs/>
    </w:rPr>
  </w:style>
  <w:style w:type="character" w:styleId="Hipercze">
    <w:name w:val="Hyperlink"/>
    <w:basedOn w:val="Domylnaczcionkaakapitu"/>
    <w:uiPriority w:val="99"/>
    <w:rsid w:val="003A1383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Domylnaczcionkaakapitu"/>
    <w:rsid w:val="00C97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4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pegi.info" TargetMode="External"/><Relationship Id="rId9" Type="http://schemas.openxmlformats.org/officeDocument/2006/relationships/hyperlink" Target="mailto:durbanska@spidor.pl" TargetMode="External"/><Relationship Id="rId10" Type="http://schemas.openxmlformats.org/officeDocument/2006/relationships/hyperlink" Target="mailto:dirk.bosmans@pegi.e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4" Type="http://schemas.openxmlformats.org/officeDocument/2006/relationships/image" Target="media/image4.jpeg"/><Relationship Id="rId5" Type="http://schemas.openxmlformats.org/officeDocument/2006/relationships/image" Target="media/image5.png"/><Relationship Id="rId6" Type="http://schemas.openxmlformats.org/officeDocument/2006/relationships/image" Target="media/image6.png"/><Relationship Id="rId7" Type="http://schemas.openxmlformats.org/officeDocument/2006/relationships/image" Target="media/image7.jpeg"/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720</Words>
  <Characters>4324</Characters>
  <Application>Microsoft Macintosh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Dominika Urbańska - Galanciak</cp:lastModifiedBy>
  <cp:revision>4</cp:revision>
  <cp:lastPrinted>2015-03-17T09:02:00Z</cp:lastPrinted>
  <dcterms:created xsi:type="dcterms:W3CDTF">2015-03-17T09:16:00Z</dcterms:created>
  <dcterms:modified xsi:type="dcterms:W3CDTF">2015-03-17T09:21:00Z</dcterms:modified>
</cp:coreProperties>
</file>